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88 vom 16. Mai 2022</w:t>
      </w:r>
    </w:p>
    <w:p>
      <w:r>
        <w:t>VS Kantonsgericht, 2022-05-16, FR</w:t>
      </w:r>
    </w:p>
    <w:p>
      <w:r>
        <w:rPr>
          <w:b/>
        </w:rPr>
        <w:t xml:space="preserve">Quelle: </w:t>
      </w:r>
      <w:r>
        <w:t>https://mcp.opencaselaw.ch/entscheid/vs_gerichte_P1 21 88</w:t>
      </w:r>
    </w:p>
    <w:p>
      <w:r>
        <w:t>FR: VS_GERICHTE P1 21 88 du 16 mai 2022</w:t>
      </w:r>
    </w:p>
    <w:p>
      <w:r>
        <w:t>IT: VS_GERICHTE P1 21 88 del 16 maggio 2022</w:t>
      </w:r>
    </w:p>
    <w:p>
      <w:pPr>
        <w:pStyle w:val="Heading2"/>
      </w:pPr>
      <w:r>
        <w:t>Regeste</w:t>
      </w:r>
    </w:p>
    <w:p>
      <w:r>
        <w:t>P1 21 88 JUGEMENT DU 16 MAI 2022 Tribunal cantonal du Valais Cour pénale I Composition : Jérôme Emonet, président ; Dr Lionel Seeberger et Dr Thierry Schnyder, juges ; Ludovic Rossier, greffier, en la cause Ministère public, appelé, et X_________, partie plaignante et appelé, représenté par Maître Julien Rouvinez, avocat, contre Y_________, fils de A_________ et de B_________, né le xxx à C_________, originaire de D_________, célibataire, économiste, domicilié à E_________, prévenu et appelant, représenté par Maître Alain Cottagnoud, avocat. (traitement institutionnel ou ambulatoire : art. 59 et 63 CP ; complément d’instruction suite à un arrêt du Tribunal fédéral)</w:t>
      </w:r>
    </w:p>
    <w:p>
      <w:pPr>
        <w:pStyle w:val="Heading2"/>
      </w:pPr>
      <w:r>
        <w:t>Erwägungen</w:t>
      </w:r>
    </w:p>
    <w:p>
      <w:r>
        <w:rPr>
          <w:b/>
        </w:rPr>
        <w:t>E. 3</w:t>
      </w:r>
    </w:p>
    <w:p>
      <w:r>
        <w:t>L’appelant se plaint du type de mesure pour laquelle la juridiction précédente a opté, à savoir un traitement institutionnel au sens de l’art. 59 CP. Il avance que si la "procédure [successorale] n’avait pas duré des années en raison des carences de l’exécuteur testamentaire […], les parties ne se seraient pas retrouvées par-devant le Tribunal de F_________". Il estime dès lors qu’un traitement ambulatoire au sens de l’art. 63 CP serait suffisant pour le "guérir […] des maux qu’il a dû subir durant ces années" (appel, ch. III/1, p. 3 s.). Dans son "mémoire-conclusions" du 7 février 2022 faisant suite à l’administration du complément d’instruction, l’appelant fait valoir qu’il n’y a aucune raison de s’écarter du rapport complémentaire du 22 novembre 2021, préconisant la mise en œuvre d’un traitement ambulatoire, jugé suffisant pour contrôler de manière proportionnée le risque de récidive. Il soutient qu’il a par le passé été "mal conseillé par des avocats qui n’ont rien entrepris pour trouver un arrangement à l’amiable, ce pour des motifs principalement financiers", que depuis la signature de la convention de partage, "les rapports entre les parties se sont calmés", et qu’il n’est pas responsable de l’intervention intempestive de</w:t>
      </w:r>
    </w:p>
    <w:p>
      <w:r>
        <w:t>- 21 - l’homme de loi K_________ consulté en automne 2021, en méconnaissance du dossier ("mémoire-conclusions", p. 4 s.). Pour sa part, la partie plaignante estime qu’il est erroné de conclure à un apaisement du différend entre les parties, au vu des démarches entreprises par l’appelant, que ce soit en Suisse ou en J________, et maintient qu’un traitement institutionnel est indiqué (cf. détermination du 7 février 2022). Dans l’hypothèse néanmoins où un traitement ambulatoire devait être ordonné, la partie plaignante s’oppose à ce que celui-ci soit confié à la psychologue I________, compte tenu de son manque de distance par rapport au prévenu (cf. écriture du 24 février 2022).</w:t>
      </w:r>
    </w:p>
    <w:p>
      <w:r>
        <w:rPr>
          <w:b/>
        </w:rPr>
        <w:t>E. 3.1.1</w:t>
      </w:r>
    </w:p>
    <w:p>
      <w:r>
        <w:t>La condamnation pénale d’une personne présuppose – outre sa participation à l’infraction, la réalisation des éléments objectifs et subjectifs de celle-ci et son caractère illicite –, qu’elle ait agi de manière coupable. Lorsque la personne est irresponsable, aucun verdict de culpabilité ni aucune peine ne peuvent être prononcés à son encontre (cf. art. 19 al. 1 CP), sauf dans les hypothèses d’une "actio libera in causa" (cf. art. 19 al. 4 CP) ou d’actes commis en état d’irresponsabilité fautive (cf. art. 263 CP). En revanche, les mesures prévues aux art. 59 à 61, 63, 64, 67, 67b et 67e CP peuvent être ordonnées (cf. art. 19 al. 3 CP et 374 al. 1 CPP) (ATF 147 IV 93consid. 1.3.3). Lorsque le Ministère public estime que l’enquête est complète et que les conditions de l’art. 374 al. 1 CPP (procédure à l’égard de prévenus irresponsables) sont remplies, il demande par écrit au tribunal de première instance de prononcer une mesure (sur le contenu de cette requête, cf. Bommer, in Basler Kommentar, Schweizerische Strafpro- zessordnung, 2. Aufl. 2014, n. 15 ad art. 374 CPP ; Schmid/Jositsch, Schweizerische Strafprozessordnung, Praxiskommentar, 3. Aufl. 2018, n. 2 ad art. 374 CPP). Sur la base de cette demande, le tribunal tranche les questions de la participation de la personne concernée à l’infraction, de la réalisation des éléments constitutifs de celle-ci de même que du caractère illicite du comportement reproché, avant d’examiner si l’auteur a commis l’acte en état d’irresponsabilité et si aucun cas de figure au sens des art. 19 al.</w:t>
      </w:r>
    </w:p>
    <w:p>
      <w:r>
        <w:rPr>
          <w:b/>
        </w:rPr>
        <w:t>E. 3.1.2.1</w:t>
      </w:r>
    </w:p>
    <w:p>
      <w:r>
        <w:t>Conformément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(Heer, in Basler Kommentar, Strafrecht I, 4. Aufl. 2019, n. 35 ad art. 56 CP). Tout d’abord, une mesure doit être propre à améliorer le pronostic légal chez l'intéressé (principe de l'adéquation ; 1°). Ensuite, elle doit être nécessaire ; elle sera inadmissible si une autre mesure, qui s'avère également appropriée, mais porte des atteintes moins graves à l'auteur, suffit pour atteindre le but visé (principe de la nécessité ou de la subsidiarité ; 2°). Enfin, il doit exister un rapport raisonnable entre l'atteinte et le but visé (principe de la proportionnalité au sens étroit ; 3°).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6B_993/2020 du 13 octobre 2020 consid. 1.1 ; 6B_1350/2019 du 1er avril 2020 consid. 3.1 ; cf. ég. Heer, op. cit., n. 35-36 ad art. 56 CP ; Dupuis et al., op. cit., n. 1, 7 et 10 ad art. 56 CP).</w:t>
      </w:r>
    </w:p>
    <w:p>
      <w:r>
        <w:rPr>
          <w:b/>
        </w:rPr>
        <w:t>E. 3.1.2.2</w:t>
      </w:r>
    </w:p>
    <w:p>
      <w:r>
        <w:t>Aux termes de l'art. 56 al. 3 CP, pour ordonner une des mesures prévues aux art. 59 à 61, 63 et 64 CP ou en cas de changement de sanction au sens de l'art. 65 CP, le juge se fonde sur une expertise. Celle-ci se détermine sur la nécessité et les chances de succès d'un traitement (let. a), sur la vraisemblance que l'auteur commette d'autres infractions et sur la nature de celles-ci (let. b) et sur les possibilités de faire exécuter la mesure (let. c). Dans ce cadre, l'expert devra se prononcer, en particulier, sur la forme du traitement et la mesure qui lui semble la plus appropriée (ATF 146 IV 1 consid. 3.1 ; arrêt 6B_39/2018 du 5 juillet 2018 consid. 1.1.2).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(arrêts 6B_776/2021 précité consid. 1.1 ; 6B_568/2019 du 17 septembre 2019 consid. 6.1). Le juge apprécie en principe librement une expertise et n'est pas lié par les conclusions de l'expert. Toutefois, il ne peut s'en écarter que lorsque des circonstances ou des indices importants et bien établis en ébranlent sérieusement la crédibilité (ATF 142 IV 49 consid. 2.3.1 ; arrêt 6B_993/2020 précité consid. 1.1 ; Stratenwerth/Bommer, Schweizeriches</w:t>
      </w:r>
    </w:p>
    <w:p>
      <w:r>
        <w:t>- 23 - Strafrecht, Allgemeiner Teil II : Strafen und Massnahmen, 3. Aufl. 2020, n. 31 ad § 8, p. 311 s.).</w:t>
      </w:r>
    </w:p>
    <w:p>
      <w:r>
        <w:rPr>
          <w:b/>
        </w:rPr>
        <w:t>E. 3.1.2.3</w:t>
      </w:r>
    </w:p>
    <w:p>
      <w:r>
        <w:t>D’après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Savoir quel est l'état psychique du délinquant et de quels troubles il est atteint relève de l'établissement des faits, tandis que savoir si les troubles retenus sont ou non constitutifs d'un grave trouble mental suffisant pour appliquer l'art. 59 CP constitue une question de droit (arrêts 6B_568/2019 précité consid. 6.1 in fine ; 6B_1062/2009 du 3 novembre 2010 consid. 7.1 non publié aux ATF 137 IV 59). Ensuite, comme l'énonce l'art. 59 al. 1 let. b CP, il faut qu'"il [soit] à prévoir que cette mesure détournera [l'auteur] de nouvelles infractions". Selon la jurisprudence, cette condition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(cf. ATF 140 IV 1 consid. 3.2.4 ; 134 IV 315 consid. 3.4.1).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Il suffit que l'intéressé puisse être motivé ("motivierbar" ; arrêts 6B_486/2019 du 12 juin 2019 consid. 2.2.1 ; 6B_784/2010 du 2 décembre 2010 consid. 2.2.3). Sous l’angle du principe de la proportionnalité, le prononcé d’un traitement institutionnel se justifie d’autant plus lorsque l’auteur est gravement atteint psychiquement, qu’une thérapie devient urgente, que le risque de récidive est élevé et que les nouvelles infractions possibles sont graves (cf. Stratenwerth/Bommer, op. cit., n. 20 ad § 8, p. 306).</w:t>
      </w:r>
    </w:p>
    <w:p>
      <w:r>
        <w:rPr>
          <w:b/>
        </w:rPr>
        <w:t>E. 3.1.2.4</w:t>
      </w:r>
    </w:p>
    <w:p>
      <w:r>
        <w:t>En vertu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1ère phrase, CP). La suspension de la peine revêt un caractère exceptionnel (ATF 129 IV 161 consid. 4.1 ; arrêt 6B_391/2020 du 12 août 2020 consid. 3.2.1 ; cf. ég. Urwyler, Untermassverbot bei therapeutischen Massnahmen nach Art. 59-61 und 63 StGB, in AJP 2018, p. 1478 ss, spéc. p. 1483). Sans coopération de l’auteur, une mesure ambulatoire en liberté n’est pratiquement pas possible (Heer, op. cit., n. 29 ad art. 63 CP ; cf. ég. Stratenwerth/Bommer, op. cit., n. 67 ad § 8, p. 324). A titre illustratif, un traitement ambulatoire peut être indiqué pour une personne souffrant d’une schizophrénie qui,</w:t>
      </w:r>
    </w:p>
    <w:p>
      <w:r>
        <w:t>- 24 - après avoir arrêté sa médication, a commis une infraction en rapport avec sa maladie (par exemple dans le cadre d’un délire) et qui n’a pas eu de problèmes avec la justice dans d’autres circonstances ; on estime utile et nécessaire que cette personne suive obligatoirement son traitement en se rendant auprès de son thérapeute et en prenant la médication prescrite sous contrôle d’un tiers (Fonjallaz/Gasser, Le juge et le psychiatre, une tension nécessaire, Berne 2017, p. 78). Selon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(sur l’ensemble de la question, cf. arrêt 6B_39/2018 précité consid. 1.1.4).</w:t>
      </w:r>
    </w:p>
    <w:p>
      <w:r>
        <w:rPr>
          <w:b/>
        </w:rPr>
        <w:t>E. 3.1.2.5</w:t>
      </w:r>
    </w:p>
    <w:p>
      <w:r>
        <w:t>La mesure ne prend pas fin avec l'écoulement du temps, mais dure en principe le temps nécessaire pour que son but soit atteint ou jusqu'à ce qu'il paraisse exclu qu'il puisse l'être (ATF 141 IV 236 consid. 3.5 ; 141 IV 49 consid. 2.1). Une mesure dont les conditions ne sont plus remplies doit être levée (art. 56 al. 6 CP). Ainsi, l'autorité compétente ordonne l'arrêt du traitement ambulatoire si sa poursuite paraît vouée à l'échec (art. 63a al. 2 let. b CP). L'échec du traitement ambulatoire ne doit pas être admis à la légère. Une crise provisoire de l'intéressé ne suffit pas (arrêts 6B_253/2015 du 23 juillet 2015 consid. 2.1 ; 6B_460/2011 du 16 septembre 2011 consid. 2.6).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(arrêt 6B_253/2015 précité consid. 2.1 et 2.3.1). Lorsque le traitement ambulatoire est levé à la suite de son échec, le tribunal doit déterminer si une mesure thérapeutique institutionnelle selon les art. 59 à 61 CP (art. 63b al. 5 CP) doit être ordonnée (ATF 143 IV 445 consid. 2.2).</w:t>
      </w:r>
    </w:p>
    <w:p>
      <w:r>
        <w:rPr>
          <w:b/>
        </w:rPr>
        <w:t>E. 3.2.1</w:t>
      </w:r>
    </w:p>
    <w:p>
      <w:r>
        <w:t>Saisie par le Ministère public d’une demande de mise en œuvre de la procédure à l’égard des prévenus irresponsables (art. 374 ss CPP), la juridiction de première instance a, dans son jugement du 3 juin 2020, constaté la participation du prévenu aux actes décrits dans l’acte d’accusation (cf. consid. 14 à 18, p. 20 à 28), et, sur la base des conclusions claires, complètes et cohérentes de l’expertise judiciaire, son irresponsabilité totale au moment des faits (cf. consid. 19, p. 28 s.). Elle l’a en conséquence "acquitté" des chefs d’accusation tirés des art. 173, 177, 179septies, 181 et 186 CP, terme qu’il conviendrait de remplacer par celui de "libéré pénalement", en l’absence d’un acquittement à proprement parler s’agissant d’un auteur jugé irresponsable (cf. supra, consid. 3.1.1).</w:t>
      </w:r>
    </w:p>
    <w:p>
      <w:r>
        <w:t>- 25 - Soulignant ensuite – toujours en prenant appui sur les conclusions des rapports d’expertise de 2019 –, que le prévenu souffrait tant au moment des faits qu’à l’heure actuelle d’un grave trouble mental (cf. trouble délirant persistant [F-22.9, selon la CIM- 10] et traits de personnalité paranoïaque [quérulente, Z-73.1]) se trouvant en rapport étroit avec les infractions commises, la juridiction précédente a estimé que la diminution du risque de récidive était strictement liée à l’observation d’un traitement médicamenteux en milieu hospitalier dans un premier temps (cf. mesure institutionnelle en milieu ouvert au sens de l’art. 59 al. 2 CP) dans le but de stabiliser la symptomatologie du trouble délirant persistant, avant d’élargir le cadre des soins par un suivi ambulatoire selon l’art. 63 CP. En conséquence, le Tribunal d’arrondissement a ordonné un traitement institutionnel au sens de l’art. 59 CP (cf. jugement de première instance, consid. 20, p. 29 ss).</w:t>
      </w:r>
    </w:p>
    <w:p>
      <w:r>
        <w:rPr>
          <w:b/>
        </w:rPr>
        <w:t>E. 3.2.2</w:t>
      </w:r>
    </w:p>
    <w:p>
      <w:r>
        <w:t>Dans son appel, le prévenu, déclaré irresponsable et à l’encontre duquel aucune sanction pénale n’a pu être prise conformément à l’art. 19 al. 1 CP, ne remet pas en cause les conditions de base du prononcé d’une mesure (cf. supra, consid. 3.1.2.1) – qui sont toujours d’actualité, le diagnostic posé dans le premier rapport d’expertise ayant été confirmé dans le complément du 22 novembre 2021 (cf. supra, consid. 2.3.1) – mais le type de la mesure en cause. En affirmant qu’un "traitement ambulatoire serait suffisant pour [le] guérir des maux qu’il a dû subir" durant les années nécessaires à la liquidation de la succession de sa mère (appel, ch. III, p. 3 s.), l’appelant se plaint de l’absence de proportionnalité du traitement institutionnel ordonné par la juridiction inférieure. Les conditions communes au traitement institutionnel (art. 59 CP) et au traitement ambulatoire (art. 63 CP) sont, d’une part (cf. let. a), l’existence d’un grave trouble mental et d’actes commis en lien avec celui-ci – aspect non remis en cause et toujours d’actualité comme on l’a dit (cf. supra, consid. 2.3.1) –, d’autre part (cf. let. b), la prévisibilité que la mesure choisie détournera l’auteur de la commission de nouvelles infractions en relation avec ce trouble. Si, à l’issue de leurs rapports établis en 2019, les experts judiciaires avaient alors relevé que la situation était préoccupante avec un risque de récidive élevé, le prévenu ne bénéficiant d’aucun suivi psychiatrique, et que seule la stricte observation d’un traitement médicamenteux de type neuroleptique était de nature à diminuer le risque de réitération d’infractions de même type que celles visées par la procédure pénale, notamment la contrainte (cf. supra, consid. 2.2.1 - 2.2.2), les spécialistes ont, dans leur rapport complémentaire du 22 novembre 2021, revu leur évaluation en tenant compte des faits nouveaux survenus dans l’intervalle. Pour les motifs exposés ci-avant (cf. supra, consid., 2.3.3.2), les conclusions du rapport du 22 novembre 2021 ont été jugées claires, complètes et concluantes, et n’appellent aucun nouveau complément d’instruction. Pour poser leur nouveau pronostic, selon lequel le risque de récidive avait clairement diminué par rapport à 2019, les experts ont tenu compte des "décisions successorales", soit plus précisément de l’homologation de la convention de partage successoral fin 2020. A cet égard, ils n’ont pas fait preuve d’un</w:t>
      </w:r>
    </w:p>
    <w:p>
      <w:r>
        <w:t>- 26 - total angélisme. Ils n’ont ainsi pas occulté le fait que le prévenu n’avait toujours pas pris conscience du caractère erroné de ses convictions au sujet des circonstances du décès de sa mère, mais souligné que l’intéressé était parvenu quelque peu à se distancer du conflit avec son beau-père, "par crainte de perdre les bénéfices successoraux". Il convient également d’intégrer le fait que l’interdiction de prendre contact avec la partie plaignante et de l’approcher – ordonnée déjà par la juridiction précédente et qui constitue également l’une des conditions stipulée dans la convention de partage pour que le prévenu puisse bénéficier d’une rente annuelle d’au-moins 80'000 fr. de la part du trust (cf. supra, consid. 2.3.3.2) –, ajouté à sa résidence habituelle à l’étranger, constituent des mesures aptes à diminuer le risque que l’intéressé importune derechef, physiquement (cf. contrainte), verbalement ou par écrit (cf. infractions contre l’honneur) son beau-père. Du reste, il n’apparaît pas que le prévenu ait à nouveau, agi en ce sens au détriment du dernier nommé, sachant qu’au bénéfice du doute, l’envoi du courriel – isolé – du 14 novembre 2021 à X_________, sa fille et une troisième personne à partir de l’adresse électronique simonleedsxxx@gmail.com ne peut clairement lui être attribuée et que son contenu, pour le moins sybillin, ne peut être indubitablement mis en lien avec le différend successoral (cf. supra, consid. 2.3.2). Pour ce qui est du type de traitement à mettre en œuvre, les experts ont estimé qu’un traitement ambulatoire – confié à un professionnel reconnu dans le domaine de la psychiatrie forensique pouvant, en cas de besoin, prescrire des neuroleptiques – était de nature à contenir le risque de récidive. Tenant compte de l’ensemble du tableau prévalant à l’heure actuelle, la cour de céans, suivant en cela l’avis autorisé des experts judiciaires, estime que le prononcé d’un traitement ambulatoire au sens de l’art. 63 CP constitue une mesure propre (cf. principes de l’adéquation et de la nécessité) et suffisante (cf. principe de la proportionnalité) à éviter que l’appelant ne commette au préjudice de la partie plaignante de nouvelles infractions, du même type que celles perpétrées entre 2015 et 2017 (cf. supra, consid. 2.1.2 - 2.1.5). Ayant lui-même conclu, par l’entremise de son défenseur, à la mise en œuvre d’un traitement ambulatoire, l’appelant semble faire preuve du minimum de coopération attendu pour que la mesure soit à même de porter ses fruits à moyen terme. Partant, en modification du jugement de première instance, un traitement ambulatoire au sens de l’art. 63 CP est prononcé, la durée de l’hospitalisation à des fins d’expertise ordonnée du 14 au 19 février 2019 étant imputée sur la durée de la mesure (cf. art. 51 et 110 al. 7 CP et 186 al. 4 CPP).</w:t>
      </w:r>
    </w:p>
    <w:p>
      <w:r>
        <w:rPr>
          <w:b/>
        </w:rPr>
        <w:t>E. 3.2.3</w:t>
      </w:r>
    </w:p>
    <w:p>
      <w:r>
        <w:t>Si le choix pour la mise en œuvre du traitement relève de la compétence de l’autorité d’exécution des peines et mesures, il n’en demeure pas moins que le tribunal peut donner des recommandations (cf. Heer, op. cit., n. 19 ad art. 56 CP). En lien avec les craintes manifestées par la partie plaignante, il convient de souligner que le traitement ambulatoire ne pourra en aucun cas être assuré par la psychologue I________, comme le souhaiterait le prévenu. En effet, d’une part, celle-ci n’a pas observé la distance relationnelle nécessaire avec ce dernier, comme l’ont mis en lumière les experts judiciaires, et son intervention jusqu’ici n’a pas influencé favorablement la diminution du risque de récidive (cf. supra, consid. 2.3.1). D’autre part et surtout, les</w:t>
      </w:r>
    </w:p>
    <w:p>
      <w:r>
        <w:t>- 27 - spécialistes ont recommandé la désignation d’un médecin reconnu dans le domaine de la psychiatrie forensique – qualité que ne revêt manifestement pas la prénommée au vu de son profil (p. 1627 [études en psychologie, philologie allemande et aromathérapie]) – et susceptible de prescrire, en cas de besoin, un traitement médicamenteux en sus des séances de psychothérapie. L’appelant est rendu attentif au fait que, s’il ne devait pas se présenter aux rendez-vous avec le médecin-psychiatre désigné par le service d’exécution des peines et mesures, les autorités judiciaires, une fois informées de cette situation, auront la possibilité de remplacer le traitement ambulatoire par un traitement institutionnel en faisant application de l'art. 63b al. 5 CP (cf. arrêt 6B_1080/2021 du 8 décembre 2021 consid. 3.5 et supra, consid. 3.1.2.4).</w:t>
      </w:r>
    </w:p>
    <w:p>
      <w:r>
        <w:rPr>
          <w:b/>
        </w:rPr>
        <w:t>E. 4</w:t>
      </w:r>
    </w:p>
    <w:p>
      <w:r>
        <w:t>Dans son "mémoire-conclusions" du 7 février 2022, l’appelant a, pour la première fois, sollicité le versement d’une indemnité pour tort moral de 5000 fr. à raison de la privation de liberté dont il a fait l’objet le 6 juillet 2021, consécutivement à l’exécution du mandat d’arrêt décerné à son encontre par la présidente de l’autorité de première instance. Cet événement, postérieur au jugement querellé et non porté à la connaissance du Tribunal fédéral, n’étant pas visé par l’arrêt de renvoi, l’appelant est fondé à se prévaloir de son existence, en tant que fondement de sa prétention en indemnisation (cf. supra, consid. 1.3 et 2.4).</w:t>
      </w:r>
    </w:p>
    <w:p>
      <w:r>
        <w:rPr>
          <w:b/>
        </w:rPr>
        <w:t>E. 4.1.1</w:t>
      </w:r>
    </w:p>
    <w:p>
      <w:r>
        <w:t>L’art. 429 al. 1 let. c CPP énonce que, si le prévenu est acquitté totalement ou en partie ou s’il bénéficie d’une ordonnance de classement, il a droit à une réparation du tort moral subi en raison d’une atteinte particulièrement grave à sa personnalité, notamment en cas de privation de liberté. Quant à l’art. 431 al. 1 CPP, il dispose que si le prévenu a, de manière illicite, fait l’objet de mesures de contrainte, l’autorité pénale lui alloue une juste indemnité et réparation du tort moral. Dans le cas de figure prévu par l’art. 429 al. 1 let. c CPP, la détention est conforme aux règles légales de fond comme de procédure au moment de son prononcé, et se révèle par la suite injustifiée ("ungerechtfertigt") compte tenu de l’abandon des poursuites (Perrier Depeursinge, Code de procédure pénale suisse annoté, 2e éd. 2020, p. 650 [ad art. 429 al. 1 let. c CPP]). Dans l’hypothèse visée par l’art. 431 al. 1 CPP, la mesure de contrainte est en revanche considérée comme d’emblée illicite (Moreillon/Parein-Reymond, op. cit., n. 3 ad art. 431 CPP ; Mizel/Rétornaz, in Commentaire romand, Code de procédure pénale suisse, 2e éd. 2019, n. 3 ad art. 431 CPP). La mesure de contrainte est illicite, au sens de cette disposition, si – lorsqu’elle est ordonnée ou exécutée – les conditions matérielles ou formelles ressortant des art. 196 ss CPP ne sont pas remplies (arrêts 6B_1090/2020 du 1er avril 2021 consid. 2.3.1 ; 6B_365/2011 du 22 septembre 2011 consid. 3.2, non publié aux ATF 137 IV 352).</w:t>
      </w:r>
    </w:p>
    <w:p>
      <w:r>
        <w:rPr>
          <w:b/>
        </w:rPr>
        <w:t>E. 4.1.2</w:t>
      </w:r>
    </w:p>
    <w:p>
      <w:r>
        <w:t>La notion de juste indemnité à laquelle se réfère l’art. 431 al. 1 CPP doit être lue à la lumière de l’art. 429 CPP. Contrairement à l’art. 429 CPP, qui ne vaut que si les charges sont abandonnées, l’art. 431 al. 1 CPP est applicable quelle que soit l’issue de la procédure (Moreillon/Parein-Reymond, op. cit., n. 6-7 ad art. 431 CPP et les réf.).</w:t>
      </w:r>
    </w:p>
    <w:p>
      <w:r>
        <w:t>- 28 - Afin d'avoir droit à l'indemnité visée par l'art. 429 al. 1 let. c CPP, l'intensité de l'atteinte à la personnalité doit être analogue à celle requise dans le contexte de l'art. 49 CO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La notion de privation de liberté doit s'interpréter à la lumière des art. 51 et 110 al. 7 CP. Aux termes de cette dernière disposition, est considérée comme détention avant jugement, toute détention ordonnée au cours d'un procès pénal pour les besoins de l'instruction, pour des motifs de sûreté ou en vue de l'extradition (ATF 143 IV 339 consid. 3.2). Selon la jurisprudence, l'arrestation au sens de l'art. 217 CPP – respectivement l’appréhension au sens de l’art. 215 CPP, suivie d’une arrestation (Perrier Depeursinge, op. cit., p. 650 [ad art. 429 al. 1 let. c CPP]) – constitue une mesure privative de liberté. Toujours selon la jurisprudence, une arrestation de plus de trois heures constitue une détention avant jugement qui peut donner lieu à indemnisation. Il convient toutefois de ne pas tenir compte de la durée d'un éventuel interrogatoire formel dans le décompte des heures, seule étant déterminante la période pendant laquelle la personne est retenue à disposition des autorités (ATF 143 IV 339 consid. 3.2 ; arrêt 6B_975/2018 du 13 novembre 2018 consid. 2.2). La Haute Cour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arrêt 6B_744/2020 du 26 octobre 2020 consid. 5.2).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(ATF 143 IV 339 consid. 3.1 ; arrêt 6B_974/2020 du 31 mars 2021 consid. 2.1.1).</w:t>
      </w:r>
    </w:p>
    <w:p>
      <w:r>
        <w:rPr>
          <w:b/>
        </w:rPr>
        <w:t>E. 4.1.3</w:t>
      </w:r>
    </w:p>
    <w:p>
      <w:r>
        <w:t>Dans le cadre de l'art. 431 CPP, il n'est prévu aucune restriction au droit à l'indemnisation et aucun motif de réduction. L'art. 430 CPP en particulier n'est pas applicable (arrêts 6B_1090/2020 précité consid. 2.3.1 ; 6B_291/2013 du 12 décembre 2013 consid. 2.3, in SJ 2014 I p. 218 ss ; Griesser, in Donatsch et al. [Hrsg.], Kommentar zur Schweizerischen Strafprozessordnung, 3. Aufl. 2020, n. 1 ad art. 431 CPP ; Mizel/Rétornaz, op. cit., n. 7 ad art. 431 CPP). Le fait que le prévenu soit condamné, en vertu de l’art. 426 al. 2 CPP, à payer les frais de procédure n’a pas non plus d’influence sur le droit à l’indemnisation du prévenu dans le cadre des mesures de contrainte illicites (Moreillon/Parein-Reymond, op. cit., n. 10 ad art. 431 CPP).</w:t>
      </w:r>
    </w:p>
    <w:p>
      <w:r>
        <w:t>- 29 -</w:t>
      </w:r>
    </w:p>
    <w:p>
      <w:r>
        <w:rPr>
          <w:b/>
        </w:rPr>
        <w:t>E. 4.2</w:t>
      </w:r>
    </w:p>
    <w:p>
      <w:r>
        <w:t>In casu, il a été exposé que les conditions pour prononcer un mandat d’arrêt au sens de l’art. 210 ch. 2 CPP n’étaient pas réunies. Au terme du jugement sur appel du 17 décembre 2020, ce mandat a du reste été révoqué, en tant qu’il visait à procéder à l’arrestation du prévenu (cf. ch. 6 du dispositif). Ce jugement n’est toutefois pas entré en force, compte tenu du recours en matière pénale déposé par le prénommé. En tout état de cause, l’inscription au RIPOL sur la base duquel le prévenu a été appréhendé le 6 juillet 2021 à K________ trouve son fondement dans le mandat d’arrêt décerné le 7 avril 2020 par la présidente du Tribunal d’arrondissement en vue de procéder à l’audition de l’intéressé, qui n’avait plus de raison d’être au jour des débats de première instance du 3 juin 2020, puisqu’il y avait été dispensé de comparaître en personne (cf. supra, consid. 2.4.1). C’est dire qu’en tout état de cause, l’appréhension, suivie de l’arrestation du prévenu le 6 juillet 2021 à K________, n’était pas justifiée et que, dans son principe, le prénommé est légitimé à réclamer une indemnité sur la base de l’art. 431 al. 1 CPP. Appréhendé le 6 juillet 2021 à 12h40 par la police cantonale vaudoise, l’appelant a dans un premier temps été mené à la zone carcérale du poste de FF_________, avant d’être conduit devant la présidente de la juridiction de première instance. Entendu par celle-ci à 17h30, il a été remis en liberté à la fin de l’audition, à 17h40 (cf. supra, consid. 2.4.2). Au total, durée de l’interrogatoire non compris, l’intéressé a donc été privé de liberté pendant près de cinq heures, soit une demi-journée. Sans (grande) justification, l’appelant a conclu au versement d’une indemnité pour tort moral de 5000 francs. Il n’a cependant ni avancé et encore moins démontré en quoi son arrestation l’aurait atteint dans sa personnalité de manière plus aiguë qu’un individu de sensibilité moyenne placé dans la même situation, par exemple du fait que l’interpellation se serait déroulée dans un lieu public très fréquenté, en présence de médias, etc. Il n’a pas davantage prétendu avoir subi un manque à gagner du fait de sa privation de liberté pendant cinq heures, sachant qu’il devait selon ses dires se rendre le même jour chez ses avocats (cf. procès- verbal d’audition du 2 juillet 2021, R2, p. 3 [dos., p. 1590 ss, spéc. p. 1592]). Dans ces conditions, il n’existe pas de raison de se distancier du montant de base de 200 fr. par jour prévu selon la jurisprudence fédérale en cas de détention injustifiée. La privation de liberté ayant, dans les faits, duré cinq heures, soit une demi-journée, le montant de l’indemnité est arrêté à 200 francs. Partant, l’Etat du Valais versera à l’appelant une indemnité de 200 fr. à titre de réparation du tort moral en lien avec son arrestation à K________ le 6 juillet 2021. Toute autre ou plus ample prétention en la matière est rejetée.</w:t>
      </w:r>
    </w:p>
    <w:p>
      <w:r>
        <w:t>- 30 -</w:t>
      </w:r>
    </w:p>
    <w:p>
      <w:r>
        <w:rPr>
          <w:b/>
        </w:rPr>
        <w:t>E. 5</w:t>
      </w:r>
    </w:p>
    <w:p>
      <w:r>
        <w:t>Il reste à statuer sur le sort des frais et indemnités. L’appelant a conclu à ce que les frais soient mis pour moitié à charge de l’Etat du Valais et pour l’autre moitié à celle de la partie plaignante. Il prétend en outre à une indemnité pour les dépenses occasionnées par l’exercice raisonnable de ses droits de procédure.</w:t>
      </w:r>
    </w:p>
    <w:p>
      <w:r>
        <w:rPr>
          <w:b/>
        </w:rPr>
        <w:t>E. 5.1.1</w:t>
      </w:r>
    </w:p>
    <w:p>
      <w:r>
        <w:t>L’ampleur des frais de l’autorité inférieure (art. 428 al. 3 CPP), arrêtés à 21'582 fr.95 au total (1800 fr. [émolument pour la procédure devant le Ministère public] + 332 fr.30 [débours devant le Ministère public] + 4000 fr. [émolument pour l’autorité de jugement de première instance] + 15'450 fr.65 [débours, notamment pour l’expertise judiciaire] ; cf. jugement déféré, consid. 24.1, p. 33) – auxquels s’ajoutent les frais liés à la défense d’office du prévenu, fixés à 10'400 fr. (8000 fr. [cf. ordonnance du 30 avril 2020 pour l’activité déployée du 14 février 2019 au 16 avril 2020 ; p. 1216] + 2400 fr. [rémunération pour l’activité exercée du 19 mai au 3 juin 2020 ; cf. jugement de première instance, consid. 26.2, p. 36 s.]) – n’étant pas contestée, il y a lieu d’en confirmer le montant. L'art. 419 CPP prévoit la possibilité de mettre les frais à la charge du prévenu irresponsable qui fait l'objet d'une ordonnance de classement en raison de son irresponsabilité ou qui a été acquitté pour ce motif si l'équité l'exige au vu de l'ensemble des circonstances. L'application de cette disposition suppose une pesée des intérêts en présence et n'intervient que si la situation financière de l'intéressé est favorable (Message, op. cit., p. 1308). Il s'agit d'éviter les cas où la libération du paiement des frais de l'auteur serait choquante (ATF 145 IV 94 consid. 2.2.1 ; Crevoisier, in Commentaire romand, Code de procédure pénale suisse, 2e éd. 2019, n. 1 ad art. 419 CPP ; Schmid/Jositsch, op. cit., n. 1 ad art. 419 CPP). Dans le cas particulier, il est constant que le prévenu a été reconnu comme étant l’auteur des faits visés par l’acte d’accusation mais qu’il a été déclaré irresponsable. Vu la fortune dont il dispose, comme cela a été relevé lors de l’examen de l’indemnité pour tort moral réclamée par la partie plaignante (art. 49 et 54 CO ; cf. jugement de première instance, consid. 24.3 et 25.3.1, p. 34 s.), et vu les comportements adoptés en procédure – notamment ses changements incessants de défenseur privé ainsi que les problèmes rencontrés dans la notification des citations –, qui ont compliqué et ralenti le cours de la procédure, la mise à la charge du prévenu de l’intégralité des frais (21'582 fr.95), y compris l’indemnité de 10'400 fr. fixée pour l’activité de son défenseur d’office (cf. jugement déféré, consid. 24.3, p. 34 et consid. 26.2, p. 36 s.), échappe à la critique et ne peut qu’être approuvée. Le prévenu sera tenu de rembourser à l’Etat du Valais l’indemnité de 10'400 fr. réglée à son défenseur d’office, Me G_________ ; il versera également à celui-ci la différence entre son indemnité en tant que défenseur désigné et les honoraires qu’il aurait perçus comme conseil privé (cf. art. 135 al. 4 CPP).</w:t>
      </w:r>
    </w:p>
    <w:p>
      <w:r>
        <w:rPr>
          <w:b/>
        </w:rPr>
        <w:t>E. 5.1.2</w:t>
      </w:r>
    </w:p>
    <w:p>
      <w:r>
        <w:t>En cas d'acquittement ou d'ordonnance de classement en raison de l'irresponsabilité du prévenu, le législateur a expressément prévu, à l'art. 419 CPP, la</w:t>
      </w:r>
    </w:p>
    <w:p>
      <w:r>
        <w:t>- 31 -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l'art. 429 CPP (ATF 137 IV 352 consid. 2.4.2). Compte tenu de cette corrélation, il faut admettre que si le prévenu irresponsable a été condamné aux frais pour des raisons d'équité en application de l'art. 419 CPP, l'indemnité selon l'art. 429 CPP doit pouvoir être refusée (ATF 145 IV 94 consid. 2.3.2). In casu, l’intégralité des frais de première instance ayant été mise à la charge du prévenu, celui-ci ne peut prétendre à une indemnité pour ses frais d’avocat privé et doit donc supporter ses frais d’intervention. Pour ce même motif, il versera en application de l’art. 433 al. 1 let. b CPP (cf. infra, consid. 5.2.2) 20'500 fr., TVA et débours compris, à la partie plaignante à titre de juste indemnité pour les dépenses obligatoires occasionnées par la procédure (cf. jugement attaqué, consid. 25.33.2, p. 35).</w:t>
      </w:r>
    </w:p>
    <w:p>
      <w:r>
        <w:rPr>
          <w:b/>
        </w:rPr>
        <w:t>E. 5.2.1</w:t>
      </w:r>
    </w:p>
    <w:p>
      <w:r>
        <w:t>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6B_369/2018 du 7 février 2019 consid. 4.1, non publié aux ATF 145 IV 90 ; 6B_1046/2013 du 14 mai 2014 consid. 3.3 ; Domeisen, in Basler Kommentar, Schweizerische Strafprozessordnung, 2. Aufl. 2014, n.</w:t>
      </w:r>
    </w:p>
    <w:p>
      <w:r>
        <w:rPr>
          <w:b/>
        </w:rPr>
        <w:t>E. 5.2.2</w:t>
      </w:r>
    </w:p>
    <w:p>
      <w:r>
        <w:t>Vu ce résultat, la partie plaignante peut également prétendre (cf. art. 433 al. 1 CPP) à être indemnisée pour les dépenses obligatoires occasionnées par la procédure de seconde instance. L’activité du conseil de la partie plaignante dans ce cadre a, pour l’essentiel, consisté en la rédaction d’un courrier, la préparation de la plaidoirie et la participation aux débats du 17 décembre 2020, jour, qui ont duré environ une heure, et le dépôt de trois déterminations (en moyenne de deux à trois pages l’une [16 et novembre 2021, 7 février 2022]) et deux autres lettres postérieurement au renvoi, par le Tribunal fédéral, du dossier à la juridiction cantonale de céans. Dans ces conditions, eu égard à la fourchette prévue par l’art. 36 LTar (de 1100 fr. à 8800 fr. devant le Tribunal cantonal en appel), aux critères posés par les art. 27 et 30 al. 1 et 2 LTar et au sort de l’appel, l’autorité de céans fixe à 2000 fr., TVA et débours compris (frais de port et de copie), l’indemnité due par l’appelant à la partie plaignante pour les dépenses obligatoires occasionnées par la procédure de seconde instance. Par ces motifs,</w:t>
      </w:r>
    </w:p>
    <w:p>
      <w:r>
        <w:t>- 33 - Prononce L’appel contre le jugement rendu le 3 juin 2020 par le Tribunal pour le district de F_________, dont les points suivants du dispositif sont entrés en force : 1. Il est constaté que Y_________ a commis les actes décrits dans l'acte d'accusation du 9 octobre 2018. 2. Reconnu irresponsable (art. 19 al. 1 CP), Y_________ est libéré pénalement des chefs d'accusation de diffamation (art. 173 ch. 1 CP), d'injure (art. 177 al. 1 CP), de contrainte (art. 181 CP), de violation de domicile (art. 186 CP) et d'utilisation abusive d'une installation de télécommunication (art. 179septies CP). est partiellement admis ; en conséquence, il est statué : 3. Un traitement ambulatoire au sens de l'art. 59 CP est ordonné, dans le sens des considérants. 4. La durée de l'hospitalisation à des fins d'expertise ordonnée du 14 février 2019 au 19 février 2019 est imputée sur ladite mesure (art. 51, 110 al. 7 CP et 186 al. 4 CPP). 5. Il est fait interdiction à Y_________ de prendre directement contact avec X_________, de s'approcher de lui et d'accéder à un périmètre de moins de 100 mètres de ses logements, de quelque manière que ce soit, pour une durée de 5 ans (art. 67b CP).</w:t>
      </w:r>
    </w:p>
    <w:p>
      <w:r>
        <w:rPr>
          <w:b/>
        </w:rPr>
        <w:t>E. 6</w:t>
      </w:r>
    </w:p>
    <w:p>
      <w:r>
        <w:t>Le mandat d’arrêt décerné à l'encontre de Y_________ est sans objet.</w:t>
      </w:r>
    </w:p>
    <w:p>
      <w:r>
        <w:t>L’Etat du Valais versera à Y_________ une indemnité de 200 fr. à titre de réparation du tort moral en lien avec son arrestation à K________ le 6 juillet 2021.</w:t>
      </w:r>
    </w:p>
    <w:p>
      <w:r>
        <w:t>Toute autre ou plus ample prétention en la matière est rejetée.</w:t>
      </w:r>
    </w:p>
    <w:p>
      <w:r>
        <w:rPr>
          <w:b/>
        </w:rPr>
        <w:t>E. 7</w:t>
      </w:r>
    </w:p>
    <w:p>
      <w:r>
        <w:t>Y_________ versera à X_________ une indemnité de 3000 fr. pour le tort moral subi.</w:t>
      </w:r>
    </w:p>
    <w:p>
      <w:r>
        <w:rPr>
          <w:b/>
        </w:rPr>
        <w:t>E. 8</w:t>
      </w:r>
    </w:p>
    <w:p>
      <w:r>
        <w:t>Les frais de procédure et de jugement de première instance, arrêtés à 31'982 fr.95 au total (1800 fr. [émolument du Ministère public] + 332 fr.30 [débours Ministère public] + 15'450 fr.65 [débours expertise] + 4000 fr. [émolument de l'autorité de jugement] + 10'400 fr. [indemnité pour la défense d’office]), sont mis à la charge de Y_________ (art. 419 CPP). 8bis. Les frais d’appel, par 1000 fr., sont mis à la charge de Y_________.</w:t>
      </w:r>
    </w:p>
    <w:p>
      <w:r>
        <w:rPr>
          <w:b/>
        </w:rPr>
        <w:t>E. 9</w:t>
      </w:r>
    </w:p>
    <w:p>
      <w:r>
        <w:t>Une juste indemnité de 22’500 fr. (20'500 fr. [première instance] ; 2000 fr. [appel]) pour les dépenses occasionnées par la procédure est allouée à X_________. Elle est mise à la charge de Y_________ (art. 419 et 433 CPP).</w:t>
      </w:r>
    </w:p>
    <w:p>
      <w:r>
        <w:t>- 34 -</w:t>
      </w:r>
    </w:p>
    <w:p>
      <w:r>
        <w:rPr>
          <w:b/>
        </w:rPr>
        <w:t>E. 10</w:t>
      </w:r>
    </w:p>
    <w:p>
      <w:r>
        <w:t>L'Etat du Valais versera à Me G_________ une équitable indemnité de 2400 fr, pour l'activité qu'il a déployée entre le 19 mai 2020 et le 3 juin 2020 pour la défense d'office de Y_________.</w:t>
      </w:r>
    </w:p>
    <w:p>
      <w:r>
        <w:rPr>
          <w:b/>
        </w:rPr>
        <w:t>E. 11</w:t>
      </w:r>
    </w:p>
    <w:p>
      <w:r>
        <w:t>Y_________ remboursera à l'Etat du Valais les frais de défense d'office de Me G_________ à concurrence de 10'400 francs. Il remboursera à Me G_________ la différence entre son indemnité en tant que défenseur désigné et les honoraires qu'il aurait touché comme défenseur privé (art. 135 al. 4 CPP).</w:t>
      </w:r>
    </w:p>
    <w:p>
      <w:r>
        <w:rPr>
          <w:b/>
        </w:rPr>
        <w:t>E. 12</w:t>
      </w:r>
    </w:p>
    <w:p>
      <w:r>
        <w:t>Y_________ supporte ses propres frais d'intervention, tant en première qu’en seconde instances cantonales. Ainsi jugé à Sion, le 16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